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0D" w:rsidRDefault="00E4350D" w:rsidP="00E4350D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116840</wp:posOffset>
            </wp:positionV>
            <wp:extent cx="1082040" cy="1076325"/>
            <wp:effectExtent l="19050" t="0" r="3810" b="0"/>
            <wp:wrapTight wrapText="bothSides">
              <wp:wrapPolygon edited="0">
                <wp:start x="7225" y="0"/>
                <wp:lineTo x="4563" y="1147"/>
                <wp:lineTo x="0" y="4970"/>
                <wp:lineTo x="-380" y="13381"/>
                <wp:lineTo x="1901" y="18350"/>
                <wp:lineTo x="2282" y="18733"/>
                <wp:lineTo x="6845" y="21409"/>
                <wp:lineTo x="7225" y="21409"/>
                <wp:lineTo x="14451" y="21409"/>
                <wp:lineTo x="14831" y="21409"/>
                <wp:lineTo x="19394" y="18733"/>
                <wp:lineTo x="19775" y="18350"/>
                <wp:lineTo x="21676" y="13763"/>
                <wp:lineTo x="21676" y="7646"/>
                <wp:lineTo x="21296" y="4970"/>
                <wp:lineTo x="17113" y="1147"/>
                <wp:lineTo x="14451" y="0"/>
                <wp:lineTo x="7225" y="0"/>
              </wp:wrapPolygon>
            </wp:wrapTight>
            <wp:docPr id="3" name="Picture 1" descr="C:\Users\AsrockVG3\Desktop\Hydrome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VG3\Desktop\Hydrome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50D" w:rsidRDefault="00E4350D" w:rsidP="00E4350D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E4350D" w:rsidRDefault="00E4350D" w:rsidP="000151A5">
      <w:pPr>
        <w:pStyle w:val="PlainText"/>
        <w:jc w:val="center"/>
      </w:pPr>
      <w:r w:rsidRPr="00FA586D">
        <w:rPr>
          <w:rFonts w:ascii="Times New Roman" w:hAnsi="Times New Roman" w:cs="Times New Roman"/>
          <w:b/>
          <w:sz w:val="28"/>
          <w:szCs w:val="28"/>
        </w:rPr>
        <w:t xml:space="preserve">MINISTRY OF EMERGENCY SITUATIONS OF THE REPUBLIC OF ARMENIA «SERVICE OF HYDROMETEOROLOGY AND ACTIVE INFLUENCE ON ATMOSPHERIC PHENOMENA» </w:t>
      </w:r>
    </w:p>
    <w:p w:rsidR="00E4350D" w:rsidRDefault="00E4350D" w:rsidP="00E4350D">
      <w:pPr>
        <w:pStyle w:val="PlainText"/>
        <w:jc w:val="center"/>
      </w:pPr>
    </w:p>
    <w:p w:rsidR="006E4575" w:rsidRPr="006E4575" w:rsidRDefault="006E4575" w:rsidP="006E457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6E4575">
        <w:rPr>
          <w:b/>
          <w:sz w:val="28"/>
          <w:szCs w:val="28"/>
        </w:rPr>
        <w:t xml:space="preserve">limate outlook for 2017 summer season </w:t>
      </w:r>
      <w:r w:rsidR="0047340B">
        <w:rPr>
          <w:b/>
          <w:sz w:val="28"/>
          <w:szCs w:val="28"/>
        </w:rPr>
        <w:t>in</w:t>
      </w:r>
      <w:r w:rsidRPr="006E4575">
        <w:rPr>
          <w:b/>
          <w:sz w:val="28"/>
          <w:szCs w:val="28"/>
        </w:rPr>
        <w:t xml:space="preserve"> Armenia</w:t>
      </w:r>
    </w:p>
    <w:p w:rsidR="006E4575" w:rsidRDefault="006E4575" w:rsidP="006E4575">
      <w:pPr>
        <w:pStyle w:val="Default"/>
        <w:rPr>
          <w:sz w:val="23"/>
          <w:szCs w:val="23"/>
        </w:rPr>
      </w:pPr>
    </w:p>
    <w:p w:rsidR="0013326C" w:rsidRPr="0013326C" w:rsidRDefault="006E4575" w:rsidP="0013326C">
      <w:pPr>
        <w:pStyle w:val="Default"/>
      </w:pPr>
      <w:r>
        <w:rPr>
          <w:sz w:val="23"/>
          <w:szCs w:val="23"/>
        </w:rPr>
        <w:t xml:space="preserve"> </w:t>
      </w:r>
      <w:r w:rsidR="0013326C">
        <w:rPr>
          <w:sz w:val="23"/>
          <w:szCs w:val="23"/>
        </w:rPr>
        <w:t xml:space="preserve">      </w:t>
      </w:r>
      <w:r w:rsidRPr="0013326C">
        <w:t>Based on all available forecasting material including: outputs from 12 GPCs, WMO Leading Centre for LRF, IRI and SEEVCCC</w:t>
      </w:r>
      <w:r w:rsidR="00263C68" w:rsidRPr="0013326C">
        <w:t>,</w:t>
      </w:r>
      <w:r w:rsidR="0047340B">
        <w:t xml:space="preserve"> </w:t>
      </w:r>
      <w:r w:rsidR="00263C68" w:rsidRPr="0013326C">
        <w:t xml:space="preserve">current weather conditions and according to analog years the climate outlook for summer </w:t>
      </w:r>
      <w:r w:rsidR="0047340B" w:rsidRPr="0013326C">
        <w:t>season 2017</w:t>
      </w:r>
      <w:r w:rsidR="00263C68" w:rsidRPr="0013326C">
        <w:t xml:space="preserve"> in Armenia is suggested as </w:t>
      </w:r>
      <w:r w:rsidR="0013326C" w:rsidRPr="0013326C">
        <w:t>follow</w:t>
      </w:r>
      <w:r w:rsidR="000151A5">
        <w:t>s</w:t>
      </w:r>
      <w:r w:rsidR="00263C68" w:rsidRPr="0013326C">
        <w:t xml:space="preserve">: </w:t>
      </w:r>
      <w:r w:rsidR="0013326C" w:rsidRPr="0013326C">
        <w:t xml:space="preserve">The average summer temperature will be above the </w:t>
      </w:r>
      <w:proofErr w:type="spellStart"/>
      <w:r w:rsidR="0013326C" w:rsidRPr="0013326C">
        <w:rPr>
          <w:bCs/>
        </w:rPr>
        <w:t>climatological</w:t>
      </w:r>
      <w:proofErr w:type="spellEnd"/>
      <w:r w:rsidR="0013326C" w:rsidRPr="0013326C">
        <w:rPr>
          <w:bCs/>
        </w:rPr>
        <w:t xml:space="preserve"> 1960-1990 </w:t>
      </w:r>
      <w:r w:rsidR="0013326C" w:rsidRPr="0013326C">
        <w:t>in the entire country</w:t>
      </w:r>
      <w:r w:rsidR="000151A5">
        <w:t>.</w:t>
      </w:r>
      <w:r w:rsidR="0013326C" w:rsidRPr="0013326C">
        <w:t xml:space="preserve"> Uncertainties in predictions for precipitation are higher than for temperature. The probabilities for below-, near- or above-normal conditions are approximately equal</w:t>
      </w:r>
      <w:r w:rsidR="000151A5">
        <w:t>.</w:t>
      </w:r>
      <w:r w:rsidR="0013326C" w:rsidRPr="0013326C">
        <w:t xml:space="preserve"> It should be noted that in the begin</w:t>
      </w:r>
      <w:r w:rsidR="000151A5">
        <w:t>ning of summer p</w:t>
      </w:r>
      <w:r w:rsidR="0013326C" w:rsidRPr="0013326C">
        <w:t>recipitation amount may be above normal due to the episodes of enhanced convection acc</w:t>
      </w:r>
      <w:r w:rsidR="0047340B">
        <w:t xml:space="preserve">ompanied by heavy precipitation, </w:t>
      </w:r>
      <w:r w:rsidR="000151A5">
        <w:t xml:space="preserve">with </w:t>
      </w:r>
      <w:r w:rsidR="0047340B">
        <w:t>in August less than the normal.</w:t>
      </w:r>
    </w:p>
    <w:p w:rsidR="00263C68" w:rsidRPr="00960B59" w:rsidRDefault="00263C68" w:rsidP="00263C68">
      <w:pPr>
        <w:ind w:left="-180" w:firstLine="528"/>
        <w:jc w:val="center"/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  <w:gridCol w:w="3926"/>
        <w:gridCol w:w="5205"/>
      </w:tblGrid>
      <w:tr w:rsidR="00263C68" w:rsidRPr="00451435" w:rsidTr="00063493">
        <w:tc>
          <w:tcPr>
            <w:tcW w:w="5325" w:type="dxa"/>
            <w:gridSpan w:val="2"/>
          </w:tcPr>
          <w:p w:rsidR="00263C68" w:rsidRPr="0047340B" w:rsidRDefault="00263C68" w:rsidP="000634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Probability for summer </w:t>
            </w:r>
          </w:p>
          <w:p w:rsidR="00263C68" w:rsidRPr="0047340B" w:rsidRDefault="00263C68" w:rsidP="000634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>season temperature 2 m</w:t>
            </w:r>
          </w:p>
        </w:tc>
        <w:tc>
          <w:tcPr>
            <w:tcW w:w="5205" w:type="dxa"/>
          </w:tcPr>
          <w:p w:rsidR="00263C68" w:rsidRPr="0047340B" w:rsidRDefault="00263C68" w:rsidP="000634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Probability for summer  </w:t>
            </w:r>
          </w:p>
          <w:p w:rsidR="00263C68" w:rsidRPr="0047340B" w:rsidRDefault="00263C68" w:rsidP="000634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>season precipitation    ( %)</w:t>
            </w:r>
          </w:p>
        </w:tc>
      </w:tr>
      <w:tr w:rsidR="00263C68" w:rsidRPr="00451435" w:rsidTr="00063493">
        <w:tc>
          <w:tcPr>
            <w:tcW w:w="1399" w:type="dxa"/>
          </w:tcPr>
          <w:p w:rsidR="00263C68" w:rsidRPr="0047340B" w:rsidRDefault="00263C68" w:rsidP="000634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June</w:t>
            </w:r>
          </w:p>
        </w:tc>
        <w:tc>
          <w:tcPr>
            <w:tcW w:w="3926" w:type="dxa"/>
          </w:tcPr>
          <w:p w:rsidR="00263C68" w:rsidRPr="0047340B" w:rsidRDefault="00263C68" w:rsidP="000634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="0013326C"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>Near  normal</w:t>
            </w:r>
          </w:p>
        </w:tc>
        <w:tc>
          <w:tcPr>
            <w:tcW w:w="5205" w:type="dxa"/>
          </w:tcPr>
          <w:p w:rsidR="00263C68" w:rsidRPr="0047340B" w:rsidRDefault="0013326C" w:rsidP="000634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>Above normal</w:t>
            </w:r>
          </w:p>
        </w:tc>
      </w:tr>
      <w:tr w:rsidR="00263C68" w:rsidRPr="00451435" w:rsidTr="00063493">
        <w:tc>
          <w:tcPr>
            <w:tcW w:w="1399" w:type="dxa"/>
          </w:tcPr>
          <w:p w:rsidR="00263C68" w:rsidRPr="0047340B" w:rsidRDefault="00263C68" w:rsidP="000634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3926" w:type="dxa"/>
          </w:tcPr>
          <w:p w:rsidR="00263C68" w:rsidRPr="0047340B" w:rsidRDefault="0013326C" w:rsidP="00263C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263C68"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>bove normal</w:t>
            </w:r>
          </w:p>
        </w:tc>
        <w:tc>
          <w:tcPr>
            <w:tcW w:w="5205" w:type="dxa"/>
          </w:tcPr>
          <w:p w:rsidR="00263C68" w:rsidRPr="0047340B" w:rsidRDefault="00263C68" w:rsidP="00133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Near  normal </w:t>
            </w:r>
          </w:p>
        </w:tc>
      </w:tr>
      <w:tr w:rsidR="00263C68" w:rsidRPr="00451435" w:rsidTr="00063493">
        <w:tc>
          <w:tcPr>
            <w:tcW w:w="1399" w:type="dxa"/>
          </w:tcPr>
          <w:p w:rsidR="00263C68" w:rsidRPr="0047340B" w:rsidRDefault="00263C68" w:rsidP="000634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3926" w:type="dxa"/>
          </w:tcPr>
          <w:p w:rsidR="00263C68" w:rsidRPr="0047340B" w:rsidRDefault="0013326C" w:rsidP="000634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263C68"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>bove normal</w:t>
            </w:r>
          </w:p>
        </w:tc>
        <w:tc>
          <w:tcPr>
            <w:tcW w:w="5205" w:type="dxa"/>
          </w:tcPr>
          <w:p w:rsidR="00263C68" w:rsidRPr="0047340B" w:rsidRDefault="00263C68" w:rsidP="00133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Near  normal </w:t>
            </w:r>
            <w:r w:rsidR="0047340B" w:rsidRPr="0047340B">
              <w:rPr>
                <w:rFonts w:ascii="Times New Roman" w:hAnsi="Times New Roman"/>
                <w:color w:val="000000"/>
                <w:sz w:val="24"/>
                <w:szCs w:val="24"/>
              </w:rPr>
              <w:t>with negativ deviation</w:t>
            </w:r>
          </w:p>
        </w:tc>
      </w:tr>
    </w:tbl>
    <w:p w:rsidR="00263C68" w:rsidRDefault="00263C68" w:rsidP="00263C68">
      <w:pPr>
        <w:ind w:left="-180" w:firstLine="528"/>
        <w:rPr>
          <w:rFonts w:ascii="Sylfaen" w:hAnsi="Sylfaen" w:cs="Arial"/>
          <w:b/>
          <w:i/>
          <w:noProof/>
          <w:sz w:val="28"/>
          <w:szCs w:val="28"/>
        </w:rPr>
      </w:pPr>
      <w:r>
        <w:rPr>
          <w:rFonts w:ascii="Sylfaen" w:hAnsi="Sylfaen" w:cs="Arial"/>
          <w:b/>
          <w:i/>
          <w:noProof/>
          <w:sz w:val="28"/>
          <w:szCs w:val="28"/>
        </w:rPr>
        <w:t xml:space="preserve">             </w:t>
      </w:r>
    </w:p>
    <w:p w:rsidR="009005C4" w:rsidRPr="0047340B" w:rsidRDefault="009005C4" w:rsidP="0013326C">
      <w:pPr>
        <w:pStyle w:val="Default"/>
        <w:rPr>
          <w:b/>
        </w:rPr>
      </w:pPr>
      <w:r w:rsidRPr="0047340B">
        <w:rPr>
          <w:b/>
        </w:rPr>
        <w:t>Insight into more extreme scenarios:</w:t>
      </w:r>
    </w:p>
    <w:p w:rsidR="009005C4" w:rsidRPr="0047340B" w:rsidRDefault="009005C4" w:rsidP="009005C4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9005C4" w:rsidRPr="0047340B" w:rsidRDefault="009005C4" w:rsidP="009005C4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47340B">
        <w:rPr>
          <w:rFonts w:ascii="Times New Roman" w:hAnsi="Times New Roman" w:cs="Times New Roman"/>
          <w:color w:val="000000"/>
          <w:sz w:val="24"/>
          <w:szCs w:val="24"/>
        </w:rPr>
        <w:t>There is a possibility of hot wav</w:t>
      </w:r>
      <w:r w:rsidR="0047340B" w:rsidRPr="0047340B">
        <w:rPr>
          <w:rFonts w:ascii="Times New Roman" w:hAnsi="Times New Roman" w:cs="Times New Roman"/>
          <w:color w:val="000000"/>
          <w:sz w:val="24"/>
          <w:szCs w:val="24"/>
        </w:rPr>
        <w:t>e, for about 5-10</w:t>
      </w:r>
      <w:r w:rsidRPr="0047340B">
        <w:rPr>
          <w:rFonts w:ascii="Times New Roman" w:hAnsi="Times New Roman" w:cs="Times New Roman"/>
          <w:color w:val="000000"/>
          <w:sz w:val="24"/>
          <w:szCs w:val="24"/>
        </w:rPr>
        <w:t xml:space="preserve"> day period, in the second part of summer:  convective initiating heavy rain, thunderstorm, hailstorm, strong winds are possible in first part of summer.</w:t>
      </w:r>
    </w:p>
    <w:p w:rsidR="009005C4" w:rsidRDefault="009005C4"/>
    <w:sectPr w:rsidR="009005C4" w:rsidSect="00456B0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9005C4"/>
    <w:rsid w:val="000151A5"/>
    <w:rsid w:val="0013326C"/>
    <w:rsid w:val="002134A3"/>
    <w:rsid w:val="00263C68"/>
    <w:rsid w:val="00456B0C"/>
    <w:rsid w:val="0047340B"/>
    <w:rsid w:val="00515BA6"/>
    <w:rsid w:val="00614117"/>
    <w:rsid w:val="006E4575"/>
    <w:rsid w:val="00793D76"/>
    <w:rsid w:val="009005C4"/>
    <w:rsid w:val="00AB218D"/>
    <w:rsid w:val="00D45AA6"/>
    <w:rsid w:val="00E370D3"/>
    <w:rsid w:val="00E4350D"/>
    <w:rsid w:val="00E67D47"/>
    <w:rsid w:val="00F373DA"/>
    <w:rsid w:val="00FA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F373DA"/>
    <w:rPr>
      <w:b/>
      <w:bCs/>
      <w:smallCaps/>
      <w:color w:val="C0504D" w:themeColor="accent2"/>
      <w:spacing w:val="5"/>
      <w:u w:val="single"/>
    </w:rPr>
  </w:style>
  <w:style w:type="paragraph" w:styleId="PlainText">
    <w:name w:val="Plain Text"/>
    <w:basedOn w:val="Normal"/>
    <w:link w:val="PlainTextChar"/>
    <w:rsid w:val="009005C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005C4"/>
    <w:rPr>
      <w:rFonts w:ascii="Courier New" w:hAnsi="Courier New" w:cs="Courier New"/>
    </w:rPr>
  </w:style>
  <w:style w:type="paragraph" w:customStyle="1" w:styleId="Default">
    <w:name w:val="Default"/>
    <w:rsid w:val="009005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2017-05-24T07:47:00Z</dcterms:created>
  <dcterms:modified xsi:type="dcterms:W3CDTF">2017-05-25T11:26:00Z</dcterms:modified>
</cp:coreProperties>
</file>